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AF3F6">
      <w:pPr>
        <w:spacing w:before="240" w:after="240"/>
        <w:jc w:val="center"/>
      </w:pPr>
      <w:r>
        <w:rPr>
          <w:rFonts w:ascii="Arial" w:eastAsia="黑体"/>
          <w:b/>
          <w:bCs/>
          <w:sz w:val="52"/>
          <w:szCs w:val="52"/>
        </w:rPr>
        <w:t>像素大勇者游戏软件 V1.0</w:t>
      </w:r>
    </w:p>
    <w:p w14:paraId="70ACDBE7">
      <w:pPr>
        <w:spacing w:before="240" w:after="240"/>
        <w:jc w:val="center"/>
      </w:pPr>
      <w:r>
        <w:rPr>
          <w:rFonts w:ascii="Arial" w:eastAsia="黑体"/>
          <w:b/>
          <w:bCs/>
          <w:sz w:val="52"/>
          <w:szCs w:val="52"/>
        </w:rPr>
        <w:t>设计说明书</w:t>
      </w:r>
    </w:p>
    <w:p w14:paraId="2D9D62C2">
      <w:pPr>
        <w:spacing w:before="120" w:after="120"/>
        <w:jc w:val="center"/>
      </w:pPr>
      <w:r>
        <w:rPr>
          <w:rFonts w:ascii="Times New Roman" w:eastAsia="宋体"/>
          <w:sz w:val="24"/>
          <w:szCs w:val="24"/>
        </w:rPr>
        <w:t>著作权人：</w:t>
      </w:r>
      <w:r>
        <w:rPr>
          <w:rFonts w:hint="eastAsia"/>
          <w:sz w:val="24"/>
          <w:szCs w:val="24"/>
          <w:u w:val="none"/>
          <w:lang w:val="en-US" w:eastAsia="zh-CN"/>
        </w:rPr>
        <w:t>吕赛琴</w:t>
      </w:r>
    </w:p>
    <w:p w14:paraId="65740B56">
      <w:pPr>
        <w:spacing w:before="120" w:after="120"/>
        <w:jc w:val="center"/>
      </w:pPr>
      <w:r>
        <w:rPr>
          <w:rFonts w:ascii="Times New Roman" w:eastAsia="宋体"/>
          <w:sz w:val="24"/>
          <w:szCs w:val="24"/>
        </w:rPr>
        <w:t>开发完成日期：2026年09月13日</w:t>
      </w:r>
    </w:p>
    <w:p w14:paraId="6DEEF450"/>
    <w:p w14:paraId="207A8376">
      <w:pPr>
        <w:pageBreakBefore/>
      </w:pPr>
    </w:p>
    <w:p w14:paraId="2CAE26C3">
      <w:pPr>
        <w:pStyle w:val="2"/>
        <w:spacing w:before="240" w:after="12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一、引言</w:t>
      </w:r>
    </w:p>
    <w:p w14:paraId="326372B6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1.1 编写目的</w:t>
      </w:r>
    </w:p>
    <w:p w14:paraId="2187E3F9">
      <w:pPr>
        <w:spacing w:after="100" w:line="300" w:lineRule="auto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本文档用于说明「像素大勇者游戏软件（V1.0）」的总体设计思路、功能结构与运行环境，作为计算机软件著作权登记的鉴别材料。</w:t>
      </w:r>
    </w:p>
    <w:p w14:paraId="266310A6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1.2 软件概述</w:t>
      </w:r>
    </w:p>
    <w:p w14:paraId="799D9316">
      <w:pPr>
        <w:spacing w:after="100" w:line="300" w:lineRule="auto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本软件是一款像素风格的卡牌策略自走战斗类手机游戏软件，运行于微信小游戏平台。玩家通过三选一卡牌召唤组建英雄小队，在战前商店购买技能卡、装备卡与药品卡构建战斗组合，进入关卡后英雄与怪物在网格站位上自动移动、攻击与施法，全程无需手动操作。游戏采用"章节—关—节"三级关卡结构，每关包含普通战斗、精英战斗与首领战斗，通关后获得积分段位评定、英雄碎片与奖励。玩家可在局外使用英雄碎片升级英雄属性，并在基础、专精、传说三阶天赋树中加点，形成"战斗—养成—再战斗"的循环。</w:t>
      </w:r>
    </w:p>
    <w:p w14:paraId="1C5136F9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1.3 技术特点</w:t>
      </w:r>
    </w:p>
    <w:p w14:paraId="19C6948D">
      <w:pPr>
        <w:spacing w:after="100" w:line="300" w:lineRule="auto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本软件基于组件化游戏引擎与 TypeScript 语言开发，采用 ECS（实体-组件-系统）架构管理战斗实体，英雄、技能、增益效果均以实体形式注册与调度，提升大量同类对象的运行效率。界面采用数据模型、视图、组件分层与数据绑定模式，模块间通过全局事件总线解耦通信。游戏数据由单例模块统一管理，通过云开发接口实现登录与本地、云端双向存档同步，并以数据加密保障存档安全。战斗表现层综合运用骨骼动画、帧动画图集、补间动画与自定义着色器特效，实现受击闪白、震屏等打击反馈。</w:t>
      </w:r>
    </w:p>
    <w:p w14:paraId="3FAB4E81">
      <w:pPr>
        <w:pStyle w:val="2"/>
        <w:spacing w:before="240" w:after="12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二、运行环境</w:t>
      </w:r>
    </w:p>
    <w:p w14:paraId="53305DD7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2.1 硬件环境</w:t>
      </w:r>
    </w:p>
    <w:p w14:paraId="6DE26926">
      <w:pPr>
        <w:spacing w:after="100" w:line="300" w:lineRule="auto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CPU：1.2GHz 及以上；内存：2GB 及以上；存储空间：200MB 及以上。</w:t>
      </w:r>
    </w:p>
    <w:p w14:paraId="315359BC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2.2 软件环境</w:t>
      </w:r>
    </w:p>
    <w:p w14:paraId="79FF43D8">
      <w:pPr>
        <w:spacing w:after="100" w:line="300" w:lineRule="auto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Android 8.0 及以上或 iOS 12 及以上操作系统，微信客户端 8.0 及以上（微信小游戏平台）。</w:t>
      </w:r>
    </w:p>
    <w:p w14:paraId="0872A88F">
      <w:pPr>
        <w:spacing w:after="100" w:line="300" w:lineRule="auto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开发语言：TypeScript。</w:t>
      </w:r>
    </w:p>
    <w:p w14:paraId="1EE4386E">
      <w:pPr>
        <w:pStyle w:val="2"/>
        <w:spacing w:before="240" w:after="12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三、功能模块设计</w:t>
      </w:r>
    </w:p>
    <w:p w14:paraId="686DCA7D">
      <w:pPr>
        <w:spacing w:after="100" w:line="300" w:lineRule="auto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本软件由十个功能模块组成，各模块通过全局事件总线通信，数据由单例模块统一管理。</w:t>
      </w:r>
    </w:p>
    <w:p w14:paraId="66391812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3.1 游戏初始化与资源加载模块</w:t>
      </w:r>
    </w:p>
    <w:p w14:paraId="2931FE52">
      <w:pPr>
        <w:spacing w:after="100" w:line="300" w:lineRule="auto"/>
        <w:rPr>
          <w:rFonts w:ascii="Times New Roman" w:eastAsia="宋体"/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负责软件启动流程。处理流程：启动后按序执行字体加载、语言包加载、公共资源加载与云端存档恢复，各步骤以异步任务队列串联，逐步回调加载进度并驱动进度界面显示；全部完成后进入任务主页。输入：启动参数与资源配置；输出：初始化完成事件与任务主界面。</w:t>
      </w:r>
    </w:p>
    <w:p w14:paraId="45388128">
      <w:pPr>
        <w:spacing w:after="100" w:line="300" w:lineRule="auto"/>
        <w:rPr>
          <w:rFonts w:hint="eastAsia" w:ascii="Times New Roman" w:eastAsia="宋体"/>
          <w:sz w:val="28"/>
          <w:szCs w:val="28"/>
          <w:lang w:eastAsia="zh-CN"/>
        </w:rPr>
      </w:pPr>
      <w:r>
        <w:rPr>
          <w:rFonts w:hint="eastAsia" w:ascii="Times New Roman" w:eastAsia="宋体"/>
          <w:sz w:val="28"/>
          <w:szCs w:val="28"/>
          <w:lang w:eastAsia="zh-CN"/>
        </w:rPr>
        <w:drawing>
          <wp:inline distT="0" distB="0" distL="114300" distR="114300">
            <wp:extent cx="3630930" cy="7858760"/>
            <wp:effectExtent l="0" t="0" r="11430" b="5080"/>
            <wp:docPr id="1" name="图片 1" descr="微信图片_20260914144508_32_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14144508_32_9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30930" cy="785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866018B">
      <w:pPr>
        <w:spacing w:after="100" w:line="300" w:lineRule="auto"/>
        <w:rPr>
          <w:rFonts w:hint="eastAsia" w:ascii="Times New Roman" w:eastAsia="宋体"/>
          <w:sz w:val="28"/>
          <w:szCs w:val="28"/>
          <w:lang w:eastAsia="zh-CN"/>
        </w:rPr>
      </w:pPr>
    </w:p>
    <w:p w14:paraId="3FEF2187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3.2 关卡战斗流程模块</w:t>
      </w:r>
    </w:p>
    <w:p w14:paraId="16B570C3">
      <w:pPr>
        <w:spacing w:after="100" w:line="300" w:lineRule="auto"/>
        <w:rPr>
          <w:rFonts w:ascii="Times New Roman" w:eastAsia="宋体"/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驱动"章节—关—节"单局完整生命周期。处理流程：玩家在任务主页点击开始后，按关卡配置生成本节怪物波次，进入准备阶段；准备结束后进入战斗阶段，由刷怪引擎按节类型（普通、精英、首领）生成敌人；节间自动连战并展示过场；全部小节完成或战斗失败时进入结算。模块内置战斗计时与超时强制判定。输入：章节、关、节编号；输出：节胜负结果与结算数据。</w:t>
      </w:r>
    </w:p>
    <w:p w14:paraId="0BFA2F0C">
      <w:pPr>
        <w:spacing w:after="100" w:line="300" w:lineRule="auto"/>
        <w:rPr>
          <w:rFonts w:hint="eastAsia" w:ascii="Times New Roman" w:eastAsia="宋体"/>
          <w:sz w:val="28"/>
          <w:szCs w:val="28"/>
          <w:lang w:eastAsia="zh-CN"/>
        </w:rPr>
      </w:pPr>
      <w:r>
        <w:rPr>
          <w:rFonts w:hint="eastAsia" w:ascii="Times New Roman" w:eastAsia="宋体"/>
          <w:sz w:val="28"/>
          <w:szCs w:val="28"/>
          <w:lang w:eastAsia="zh-CN"/>
        </w:rPr>
        <w:drawing>
          <wp:inline distT="0" distB="0" distL="114300" distR="114300">
            <wp:extent cx="3089910" cy="6688455"/>
            <wp:effectExtent l="0" t="0" r="3810" b="1905"/>
            <wp:docPr id="2" name="图片 2" descr="微信图片_20260914144505_29_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914144505_29_9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9910" cy="668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eastAsia="宋体"/>
          <w:sz w:val="28"/>
          <w:szCs w:val="28"/>
          <w:lang w:eastAsia="zh-CN"/>
        </w:rPr>
        <w:drawing>
          <wp:inline distT="0" distB="0" distL="114300" distR="114300">
            <wp:extent cx="3092450" cy="6696075"/>
            <wp:effectExtent l="0" t="0" r="1270" b="9525"/>
            <wp:docPr id="3" name="图片 3" descr="微信图片_20260914144502_26_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914144502_26_9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20D8E">
      <w:pPr>
        <w:pStyle w:val="3"/>
        <w:spacing w:before="180" w:after="100"/>
        <w:rPr>
          <w:rFonts w:ascii="Arial" w:eastAsia="黑体"/>
          <w:b/>
          <w:bCs/>
          <w:color w:val="000000"/>
          <w:sz w:val="28"/>
          <w:szCs w:val="28"/>
        </w:rPr>
      </w:pPr>
    </w:p>
    <w:p w14:paraId="2A3408BE">
      <w:pPr>
        <w:pStyle w:val="3"/>
        <w:spacing w:before="180" w:after="100"/>
        <w:rPr>
          <w:rFonts w:ascii="Arial" w:eastAsia="黑体"/>
          <w:b/>
          <w:bCs/>
          <w:color w:val="000000"/>
          <w:sz w:val="28"/>
          <w:szCs w:val="28"/>
        </w:rPr>
      </w:pPr>
    </w:p>
    <w:p w14:paraId="4C7F4F67">
      <w:pPr>
        <w:pStyle w:val="3"/>
        <w:spacing w:before="180" w:after="100"/>
        <w:rPr>
          <w:rFonts w:ascii="Arial" w:eastAsia="黑体"/>
          <w:b/>
          <w:bCs/>
          <w:color w:val="000000"/>
          <w:sz w:val="28"/>
          <w:szCs w:val="28"/>
        </w:rPr>
      </w:pPr>
    </w:p>
    <w:p w14:paraId="2BE8D86C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3.3 卡牌抽取与卡池模块</w:t>
      </w:r>
    </w:p>
    <w:p w14:paraId="131308AB">
      <w:pPr>
        <w:spacing w:after="100" w:line="300" w:lineRule="auto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管理三选一英雄卡召唤。处理流程：开局从按权重配置的英雄卡池中抽取三张候选卡供玩家选择；已选英雄自动去重；玩家可消耗局内金币刷新卡池；对升级卡、刷新卡等特殊卡执行对应效果。输入：刷新请求与金币余额；输出：三张候选卡与刷新后的卡池。</w:t>
      </w:r>
    </w:p>
    <w:p w14:paraId="384DE6CB">
      <w:pPr>
        <w:pStyle w:val="3"/>
        <w:spacing w:before="180" w:after="100"/>
        <w:rPr>
          <w:rFonts w:ascii="Arial" w:eastAsia="黑体"/>
          <w:b/>
          <w:bCs/>
          <w:color w:val="000000"/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drawing>
          <wp:inline distT="0" distB="0" distL="114300" distR="114300">
            <wp:extent cx="3578225" cy="7744460"/>
            <wp:effectExtent l="0" t="0" r="3175" b="12700"/>
            <wp:docPr id="4" name="图片 4" descr="微信图片_20260914144506_30_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914144506_30_9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78225" cy="774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E86D7">
      <w:pPr>
        <w:pStyle w:val="3"/>
        <w:spacing w:before="180" w:after="100"/>
        <w:rPr>
          <w:rFonts w:ascii="Arial" w:eastAsia="黑体"/>
          <w:b/>
          <w:bCs/>
          <w:color w:val="000000"/>
          <w:sz w:val="28"/>
          <w:szCs w:val="28"/>
        </w:rPr>
      </w:pPr>
    </w:p>
    <w:p w14:paraId="78B5BEEA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3.4 英雄系统模块</w:t>
      </w:r>
    </w:p>
    <w:p w14:paraId="1B27A109">
      <w:pPr>
        <w:spacing w:after="100" w:line="300" w:lineRule="auto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实现英雄战斗实体的属性成长、攻击决策、移动与动画表现。处理流程：英雄实体由属性组件、攻击组件、移动组件、动画组件与血条组件构成；攻击组件周期性扫描攻击范围内目标并执行攻击；属性组件按成长配置计算攻击、防御、生命等数值；局外提供英雄图鉴浏览与碎片升级。输入：英雄配置与等级；输出：战斗实体与属性数值。</w:t>
      </w:r>
    </w:p>
    <w:p w14:paraId="6C01F1C2">
      <w:pPr>
        <w:pStyle w:val="3"/>
        <w:spacing w:before="180" w:after="100"/>
        <w:rPr>
          <w:rFonts w:ascii="Arial" w:eastAsia="黑体"/>
          <w:b/>
          <w:bCs/>
          <w:color w:val="000000"/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drawing>
          <wp:inline distT="0" distB="0" distL="114300" distR="114300">
            <wp:extent cx="3190875" cy="6906895"/>
            <wp:effectExtent l="0" t="0" r="9525" b="12065"/>
            <wp:docPr id="5" name="图片 5" descr="微信图片_20260914144458_22_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914144458_22_9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690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253CD">
      <w:pPr>
        <w:pStyle w:val="3"/>
        <w:spacing w:before="180" w:after="100"/>
        <w:rPr>
          <w:rFonts w:ascii="Arial" w:eastAsia="黑体"/>
          <w:b/>
          <w:bCs/>
          <w:color w:val="000000"/>
          <w:sz w:val="28"/>
          <w:szCs w:val="28"/>
        </w:rPr>
      </w:pPr>
    </w:p>
    <w:p w14:paraId="6A4222C4">
      <w:pPr>
        <w:pStyle w:val="3"/>
        <w:spacing w:before="180" w:after="100"/>
        <w:rPr>
          <w:rFonts w:ascii="Arial" w:eastAsia="黑体"/>
          <w:b/>
          <w:bCs/>
          <w:color w:val="000000"/>
          <w:sz w:val="28"/>
          <w:szCs w:val="28"/>
        </w:rPr>
      </w:pPr>
    </w:p>
    <w:p w14:paraId="19F0D9A6">
      <w:pPr>
        <w:pStyle w:val="3"/>
        <w:spacing w:before="180" w:after="100"/>
        <w:rPr>
          <w:rFonts w:ascii="Arial" w:eastAsia="黑体"/>
          <w:b/>
          <w:bCs/>
          <w:color w:val="000000"/>
          <w:sz w:val="28"/>
          <w:szCs w:val="28"/>
        </w:rPr>
      </w:pPr>
    </w:p>
    <w:p w14:paraId="12A0563E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3.5 技能系统模块</w:t>
      </w:r>
    </w:p>
    <w:p w14:paraId="3DBD2F52">
      <w:pPr>
        <w:spacing w:after="100" w:line="300" w:lineRule="auto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管理技能实体与对象池。处理流程：玩家购买技能卡后，技能实体经对象池复用创建；施法系统按即时、定时、驻场、事件四类触发时机调度技能释放；技能释放后产生弹幕、范围伤害或增益效果；技能信息提示弹窗展示技能说明。输入：技能卡购买请求；输出：技能实体与战斗效果。</w:t>
      </w:r>
    </w:p>
    <w:p w14:paraId="51F99B3F">
      <w:pPr>
        <w:pStyle w:val="3"/>
        <w:spacing w:before="180" w:after="100"/>
        <w:rPr>
          <w:rFonts w:ascii="Arial" w:eastAsia="黑体"/>
          <w:b/>
          <w:bCs/>
          <w:color w:val="000000"/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drawing>
          <wp:inline distT="0" distB="0" distL="114300" distR="114300">
            <wp:extent cx="3366135" cy="7286625"/>
            <wp:effectExtent l="0" t="0" r="1905" b="13335"/>
            <wp:docPr id="6" name="图片 6" descr="微信图片_20260914144457_21_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914144457_21_9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66135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A2515">
      <w:pPr>
        <w:pStyle w:val="3"/>
        <w:spacing w:before="180" w:after="100"/>
        <w:rPr>
          <w:rFonts w:ascii="Arial" w:eastAsia="黑体"/>
          <w:b/>
          <w:bCs/>
          <w:color w:val="000000"/>
          <w:sz w:val="28"/>
          <w:szCs w:val="28"/>
        </w:rPr>
      </w:pPr>
    </w:p>
    <w:p w14:paraId="38B2E1ED">
      <w:pPr>
        <w:pStyle w:val="3"/>
        <w:spacing w:before="180" w:after="100"/>
        <w:rPr>
          <w:rFonts w:ascii="Arial" w:eastAsia="黑体"/>
          <w:b/>
          <w:bCs/>
          <w:color w:val="000000"/>
          <w:sz w:val="28"/>
          <w:szCs w:val="28"/>
        </w:rPr>
      </w:pPr>
    </w:p>
    <w:p w14:paraId="2DEA552B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3.6 增益效果与伤害结算模块</w:t>
      </w:r>
    </w:p>
    <w:p w14:paraId="04AE7CAA">
      <w:pPr>
        <w:spacing w:after="100" w:line="300" w:lineRule="auto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管理战斗中增益/减益效果的挂载、叠加与到期移除，并统一结算伤害数字。处理流程：效果创建时按配置叠加层数与持续时间；每帧刷新剩余时间，到期自动移除；伤害产生后进入伤害队列，按帧批量结算并驱动飘字表现。输入：效果配置与伤害来源；输出：实体最终属性变化与伤害飘字。</w:t>
      </w:r>
    </w:p>
    <w:p w14:paraId="6E619FB7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3.</w:t>
      </w:r>
      <w:r>
        <w:rPr>
          <w:rFonts w:hint="eastAsia" w:ascii="Arial" w:eastAsia="黑体"/>
          <w:b/>
          <w:bCs/>
          <w:color w:val="000000"/>
          <w:sz w:val="28"/>
          <w:szCs w:val="28"/>
          <w:lang w:val="en-US" w:eastAsia="zh-CN"/>
        </w:rPr>
        <w:t>7</w:t>
      </w:r>
      <w:r>
        <w:rPr>
          <w:rFonts w:ascii="Arial" w:eastAsia="黑体"/>
          <w:b/>
          <w:bCs/>
          <w:color w:val="000000"/>
          <w:sz w:val="28"/>
          <w:szCs w:val="28"/>
        </w:rPr>
        <w:t>天赋养成模块</w:t>
      </w:r>
    </w:p>
    <w:p w14:paraId="3952CEAC">
      <w:pPr>
        <w:spacing w:after="100" w:line="300" w:lineRule="auto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提供基础、专精、传说三阶天赋树。处理流程：玩家消耗天赋点对节点加点；加点前校验消耗与阶位解锁条件；支持观看广告重置已分配天赋点；天赋效果全局作用于战斗属性。输入：天赋节点选择与天赋点余额；输出：天赋生效属性。</w:t>
      </w:r>
    </w:p>
    <w:p w14:paraId="12BF3AA5">
      <w:pPr>
        <w:spacing w:before="60" w:after="60"/>
        <w:ind w:left="420"/>
        <w:rPr>
          <w:rFonts w:ascii="Arial" w:eastAsia="黑体"/>
          <w:b/>
          <w:bCs/>
          <w:color w:val="000000"/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drawing>
          <wp:inline distT="0" distB="0" distL="114300" distR="114300">
            <wp:extent cx="2931160" cy="6345555"/>
            <wp:effectExtent l="0" t="0" r="10160" b="9525"/>
            <wp:docPr id="7" name="图片 7" descr="微信图片_20260914144501_25_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914144501_25_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31160" cy="634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47E44">
      <w:pPr>
        <w:spacing w:before="60" w:after="60"/>
        <w:ind w:left="420"/>
        <w:rPr>
          <w:rFonts w:ascii="Arial" w:eastAsia="黑体"/>
          <w:b/>
          <w:bCs/>
          <w:color w:val="000000"/>
          <w:sz w:val="28"/>
          <w:szCs w:val="28"/>
        </w:rPr>
      </w:pPr>
    </w:p>
    <w:p w14:paraId="75846830">
      <w:pPr>
        <w:spacing w:before="60" w:after="60"/>
        <w:ind w:left="420"/>
        <w:rPr>
          <w:rFonts w:ascii="Arial" w:eastAsia="黑体"/>
          <w:b/>
          <w:bCs/>
          <w:color w:val="000000"/>
          <w:sz w:val="28"/>
          <w:szCs w:val="28"/>
        </w:rPr>
      </w:pPr>
    </w:p>
    <w:p w14:paraId="6CED8292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3.</w:t>
      </w:r>
      <w:r>
        <w:rPr>
          <w:rFonts w:hint="eastAsia" w:ascii="Arial" w:eastAsia="黑体"/>
          <w:b/>
          <w:bCs/>
          <w:color w:val="000000"/>
          <w:sz w:val="28"/>
          <w:szCs w:val="28"/>
          <w:lang w:val="en-US" w:eastAsia="zh-CN"/>
        </w:rPr>
        <w:t>8</w:t>
      </w:r>
      <w:r>
        <w:rPr>
          <w:rFonts w:ascii="Arial" w:eastAsia="黑体"/>
          <w:b/>
          <w:bCs/>
          <w:color w:val="000000"/>
          <w:sz w:val="28"/>
          <w:szCs w:val="28"/>
        </w:rPr>
        <w:t>数据存档与云同步模块</w:t>
      </w:r>
    </w:p>
    <w:p w14:paraId="314BE009">
      <w:pPr>
        <w:spacing w:after="100" w:line="300" w:lineRule="auto"/>
        <w:rPr>
          <w:rFonts w:ascii="Times New Roman" w:eastAsia="宋体"/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以单例模块管理全局游戏数据。处理流程：软件启动登录后拉取云端存档，与本地存档按时间戳比对取较新者；关键节点自动上传云端；网络异常时回退本地存储兜底；存档字段加密存储。输入：游戏数据变更；输出：本地与云端一致的存档。</w:t>
      </w:r>
    </w:p>
    <w:p w14:paraId="3B526B23">
      <w:pPr>
        <w:spacing w:after="100" w:line="300" w:lineRule="auto"/>
        <w:rPr>
          <w:rFonts w:ascii="Times New Roman" w:eastAsia="宋体"/>
          <w:sz w:val="28"/>
          <w:szCs w:val="28"/>
        </w:rPr>
      </w:pPr>
    </w:p>
    <w:p w14:paraId="40A65402">
      <w:pPr>
        <w:spacing w:after="100" w:line="300" w:lineRule="auto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四、数据结构与接口设计</w:t>
      </w:r>
    </w:p>
    <w:p w14:paraId="0C1E2BC2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4.1 战斗实体结构</w:t>
      </w:r>
    </w:p>
    <w:p w14:paraId="7C37B0BF">
      <w:pPr>
        <w:spacing w:after="100" w:line="300" w:lineRule="auto"/>
        <w:rPr>
          <w:rFonts w:ascii="Times New Roman" w:eastAsia="宋体"/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英雄、怪物、技能均以 ECS 实体表示，实体挂载组件包括：属性组件（生命、攻击、防御、攻速、暴击等数值字段与成长系数）、攻击组件（攻击范围、攻击间隔、目标选择策略）、移动组件（网格坐标、移动速度）、动画组件（骨骼动画/帧动画状态机）、血条组件（血量百分比显示）。组件通过装饰器注册，由对应系统统一调度。</w:t>
      </w:r>
    </w:p>
    <w:p w14:paraId="544028D4">
      <w:pPr>
        <w:spacing w:after="100" w:line="300" w:lineRule="auto"/>
        <w:rPr>
          <w:rFonts w:ascii="Times New Roman" w:eastAsia="宋体"/>
          <w:sz w:val="28"/>
          <w:szCs w:val="28"/>
        </w:rPr>
      </w:pPr>
    </w:p>
    <w:p w14:paraId="70425C01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4.2 配置数据表</w:t>
      </w:r>
    </w:p>
    <w:p w14:paraId="6E350DEE">
      <w:pPr>
        <w:spacing w:after="100" w:line="300" w:lineRule="auto"/>
        <w:rPr>
          <w:rFonts w:ascii="Times New Roman" w:eastAsia="宋体"/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静态配置采用数据表结构，主要包括：英雄表（基础属性、成长系数、技能绑定）、技能表（触发类型、伤害系数、目标规则）、卡牌表（卡池权重、费用、稀有度）、装备表（属性加成、触发条件）、天赋表（阶位、前置节点、效果数值）、关卡表（章节—关—节结构、节类型、怪物波次）。</w:t>
      </w:r>
    </w:p>
    <w:p w14:paraId="6A352DEA">
      <w:pPr>
        <w:spacing w:after="100" w:line="300" w:lineRule="auto"/>
        <w:rPr>
          <w:rFonts w:ascii="Times New Roman" w:eastAsia="宋体"/>
          <w:sz w:val="28"/>
          <w:szCs w:val="28"/>
        </w:rPr>
      </w:pPr>
    </w:p>
    <w:p w14:paraId="6F6B81AD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4.3 模块间接口</w:t>
      </w:r>
    </w:p>
    <w:p w14:paraId="1256ED29">
      <w:pPr>
        <w:spacing w:after="100" w:line="300" w:lineRule="auto"/>
        <w:rPr>
          <w:rFonts w:ascii="Times New Roman" w:eastAsia="宋体"/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各功能模块通过全局事件总线交互，共定义约九十个游戏事件，涵盖战斗生命周期、卡牌操作、商店交易、结算发奖等类别，实现界面层与逻辑层解耦。数据模型层与视图层采用数据绑定，模型字段变更自动刷新关联界面。</w:t>
      </w:r>
    </w:p>
    <w:p w14:paraId="0AB0D47C">
      <w:pPr>
        <w:pStyle w:val="3"/>
        <w:spacing w:before="180" w:after="10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4.4 云端同步接口</w:t>
      </w:r>
    </w:p>
    <w:p w14:paraId="7E81EDE0">
      <w:pPr>
        <w:spacing w:after="100" w:line="300" w:lineRule="auto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通过云开发接口实现登录鉴权、存档上传、存档下载三个核心接口；存档记录包含数据体、时间戳与版本号，同步时以时间戳判定新旧。</w:t>
      </w:r>
    </w:p>
    <w:p w14:paraId="32E1F9D5">
      <w:pPr>
        <w:pStyle w:val="2"/>
        <w:spacing w:before="240" w:after="12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五、安全与异常处理</w:t>
      </w:r>
    </w:p>
    <w:p w14:paraId="13002420">
      <w:pPr>
        <w:spacing w:after="100"/>
        <w:ind w:left="420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 xml:space="preserve">1. </w:t>
      </w:r>
      <w:r>
        <w:rPr>
          <w:rFonts w:ascii="Times New Roman" w:eastAsia="宋体"/>
          <w:b/>
          <w:bCs/>
          <w:sz w:val="28"/>
          <w:szCs w:val="28"/>
        </w:rPr>
        <w:t>存档加密</w:t>
      </w:r>
      <w:r>
        <w:rPr>
          <w:rFonts w:ascii="Times New Roman" w:eastAsia="宋体"/>
          <w:sz w:val="28"/>
          <w:szCs w:val="28"/>
        </w:rPr>
        <w:t>：存档数据体采用加密算法加密后落盘与上传，防止明文篡改。</w:t>
      </w:r>
    </w:p>
    <w:p w14:paraId="6473FCC3">
      <w:pPr>
        <w:spacing w:after="100"/>
        <w:ind w:left="420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 xml:space="preserve">2. </w:t>
      </w:r>
      <w:r>
        <w:rPr>
          <w:rFonts w:ascii="Times New Roman" w:eastAsia="宋体"/>
          <w:b/>
          <w:bCs/>
          <w:sz w:val="28"/>
          <w:szCs w:val="28"/>
        </w:rPr>
        <w:t>数据校验</w:t>
      </w:r>
      <w:r>
        <w:rPr>
          <w:rFonts w:ascii="Times New Roman" w:eastAsia="宋体"/>
          <w:sz w:val="28"/>
          <w:szCs w:val="28"/>
        </w:rPr>
        <w:t>：天赋加点等消耗操作均先校验货币余额与解锁条件，杜绝负数货币与越权操作。</w:t>
      </w:r>
    </w:p>
    <w:p w14:paraId="20DFD5ED">
      <w:pPr>
        <w:spacing w:after="100"/>
        <w:ind w:left="420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 xml:space="preserve">3. </w:t>
      </w:r>
      <w:r>
        <w:rPr>
          <w:rFonts w:ascii="Times New Roman" w:eastAsia="宋体"/>
          <w:b/>
          <w:bCs/>
          <w:sz w:val="28"/>
          <w:szCs w:val="28"/>
        </w:rPr>
        <w:t>双端比对</w:t>
      </w:r>
      <w:r>
        <w:rPr>
          <w:rFonts w:ascii="Times New Roman" w:eastAsia="宋体"/>
          <w:sz w:val="28"/>
          <w:szCs w:val="28"/>
        </w:rPr>
        <w:t>：云端与本地存档以时间戳比对取新，防止存档回退覆盖。</w:t>
      </w:r>
    </w:p>
    <w:p w14:paraId="39919123">
      <w:pPr>
        <w:spacing w:after="100"/>
        <w:ind w:left="420"/>
        <w:rPr>
          <w:sz w:val="28"/>
          <w:szCs w:val="28"/>
        </w:rPr>
      </w:pPr>
      <w:r>
        <w:rPr>
          <w:rFonts w:ascii="Times New Roman" w:eastAsia="宋体"/>
          <w:sz w:val="28"/>
          <w:szCs w:val="28"/>
        </w:rPr>
        <w:t xml:space="preserve">4. </w:t>
      </w:r>
      <w:r>
        <w:rPr>
          <w:rFonts w:ascii="Times New Roman" w:eastAsia="宋体"/>
          <w:b/>
          <w:bCs/>
          <w:sz w:val="28"/>
          <w:szCs w:val="28"/>
        </w:rPr>
        <w:t>异常兜底</w:t>
      </w:r>
      <w:r>
        <w:rPr>
          <w:rFonts w:ascii="Times New Roman" w:eastAsia="宋体"/>
          <w:sz w:val="28"/>
          <w:szCs w:val="28"/>
        </w:rPr>
        <w:t>：网络异常时回退本地存储；资源加载失败可重试；日志模块分级记录运行信息，便于问题定位。</w:t>
      </w:r>
    </w:p>
    <w:p w14:paraId="13ABD9CF">
      <w:pPr>
        <w:pStyle w:val="2"/>
        <w:spacing w:before="240" w:after="120"/>
        <w:rPr>
          <w:sz w:val="28"/>
          <w:szCs w:val="28"/>
        </w:rPr>
      </w:pPr>
      <w:r>
        <w:rPr>
          <w:rFonts w:ascii="Arial" w:eastAsia="黑体"/>
          <w:b/>
          <w:bCs/>
          <w:color w:val="000000"/>
          <w:sz w:val="28"/>
          <w:szCs w:val="28"/>
        </w:rPr>
        <w:t>六、联系方式</w:t>
      </w:r>
    </w:p>
    <w:p w14:paraId="13D81625">
      <w:pPr>
        <w:spacing w:after="100" w:line="300" w:lineRule="auto"/>
        <w:rPr>
          <w:rFonts w:hint="default"/>
          <w:sz w:val="28"/>
          <w:szCs w:val="28"/>
          <w:lang w:val="en-US"/>
        </w:rPr>
      </w:pPr>
      <w:r>
        <w:rPr>
          <w:rFonts w:ascii="Times New Roman" w:eastAsia="宋体"/>
          <w:sz w:val="28"/>
          <w:szCs w:val="28"/>
        </w:rPr>
        <w:t>技术支持：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吕赛琴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</w:t>
      </w:r>
    </w:p>
    <w:p w14:paraId="7A68C4E2">
      <w:pPr>
        <w:spacing w:after="100" w:line="300" w:lineRule="auto"/>
        <w:rPr>
          <w:rFonts w:ascii="Times New Roman" w:eastAsia="宋体"/>
          <w:sz w:val="28"/>
          <w:szCs w:val="28"/>
        </w:rPr>
      </w:pPr>
      <w:r>
        <w:rPr>
          <w:rFonts w:ascii="Times New Roman" w:eastAsia="宋体"/>
          <w:sz w:val="28"/>
          <w:szCs w:val="28"/>
        </w:rPr>
        <w:t>联系电话：</w:t>
      </w:r>
      <w:r>
        <w:rPr>
          <w:rFonts w:hint="eastAsia"/>
          <w:sz w:val="28"/>
          <w:szCs w:val="28"/>
          <w:lang w:val="en-US" w:eastAsia="zh-CN"/>
        </w:rPr>
        <w:t xml:space="preserve"> 17757750426</w:t>
      </w:r>
      <w:r>
        <w:rPr>
          <w:rFonts w:ascii="Times New Roman" w:eastAsia="宋体"/>
          <w:sz w:val="28"/>
          <w:szCs w:val="28"/>
        </w:rPr>
        <w:t>　</w:t>
      </w:r>
    </w:p>
    <w:p w14:paraId="159D4DA1">
      <w:pPr>
        <w:spacing w:after="100" w:line="300" w:lineRule="auto"/>
        <w:rPr>
          <w:rFonts w:hint="default" w:eastAsia="宋体"/>
          <w:sz w:val="28"/>
          <w:szCs w:val="28"/>
          <w:lang w:val="en-US" w:eastAsia="zh-CN"/>
        </w:rPr>
      </w:pPr>
      <w:r>
        <w:rPr>
          <w:rFonts w:ascii="Times New Roman" w:eastAsia="宋体"/>
          <w:sz w:val="28"/>
          <w:szCs w:val="28"/>
        </w:rPr>
        <w:t>电子邮箱：</w:t>
      </w:r>
      <w:r>
        <w:rPr>
          <w:rFonts w:hint="eastAsia"/>
          <w:sz w:val="28"/>
          <w:szCs w:val="28"/>
          <w:lang w:val="en-US" w:eastAsia="zh-CN"/>
        </w:rPr>
        <w:t>17757750426@163.com</w:t>
      </w:r>
    </w:p>
    <w:sectPr>
      <w:headerReference r:id="rId3" w:type="default"/>
      <w:pgSz w:w="11906" w:h="16838"/>
      <w:pgMar w:top="720" w:right="850" w:bottom="720" w:left="850" w:header="400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0D94C">
    <w:pPr>
      <w:tabs>
        <w:tab w:val="right" w:pos="10206"/>
      </w:tabs>
    </w:pPr>
    <w:r>
      <w:rPr>
        <w:rFonts w:ascii="Consolas" w:eastAsia="宋体"/>
        <w:sz w:val="18"/>
        <w:szCs w:val="18"/>
      </w:rPr>
      <w:t>像素大勇者游戏软件　V1.0</w:t>
    </w:r>
    <w:r>
      <w:rPr>
        <w:rFonts w:ascii="Consolas" w:eastAsia="宋体"/>
        <w:sz w:val="18"/>
        <w:szCs w:val="18"/>
      </w:rPr>
      <w:tab/>
      <w:t xml:space="preserve">第 </w:t>
    </w:r>
    <w:r>
      <w:rPr>
        <w:rFonts w:ascii="Consolas" w:eastAsia="宋体"/>
        <w:sz w:val="18"/>
        <w:szCs w:val="18"/>
      </w:rPr>
      <w:fldChar w:fldCharType="begin"/>
    </w:r>
    <w:r>
      <w:rPr>
        <w:rFonts w:ascii="Consolas" w:eastAsia="宋体"/>
        <w:sz w:val="18"/>
        <w:szCs w:val="18"/>
      </w:rPr>
      <w:instrText xml:space="preserve">PAGE</w:instrText>
    </w:r>
    <w:r>
      <w:rPr>
        <w:rFonts w:ascii="Consolas" w:eastAsia="宋体"/>
        <w:sz w:val="18"/>
        <w:szCs w:val="18"/>
      </w:rPr>
      <w:fldChar w:fldCharType="separate"/>
    </w:r>
    <w:r>
      <w:rPr>
        <w:rFonts w:ascii="Consolas" w:eastAsia="宋体"/>
        <w:sz w:val="18"/>
        <w:szCs w:val="18"/>
      </w:rPr>
      <w:fldChar w:fldCharType="end"/>
    </w:r>
    <w:r>
      <w:rPr>
        <w:rFonts w:ascii="Consolas" w:eastAsia="宋体"/>
        <w:sz w:val="18"/>
        <w:szCs w:val="18"/>
      </w:rPr>
      <w:t xml:space="preserve"> 页　共 </w:t>
    </w:r>
    <w:r>
      <w:rPr>
        <w:rFonts w:ascii="Consolas" w:eastAsia="宋体"/>
        <w:sz w:val="18"/>
        <w:szCs w:val="18"/>
      </w:rPr>
      <w:fldChar w:fldCharType="begin"/>
    </w:r>
    <w:r>
      <w:rPr>
        <w:rFonts w:ascii="Consolas" w:eastAsia="宋体"/>
        <w:sz w:val="18"/>
        <w:szCs w:val="18"/>
      </w:rPr>
      <w:instrText xml:space="preserve">NUMPAGES</w:instrText>
    </w:r>
    <w:r>
      <w:rPr>
        <w:rFonts w:ascii="Consolas" w:eastAsia="宋体"/>
        <w:sz w:val="18"/>
        <w:szCs w:val="18"/>
      </w:rPr>
      <w:fldChar w:fldCharType="separate"/>
    </w:r>
    <w:r>
      <w:rPr>
        <w:rFonts w:ascii="Consolas" w:eastAsia="宋体"/>
        <w:sz w:val="18"/>
        <w:szCs w:val="18"/>
      </w:rPr>
      <w:fldChar w:fldCharType="end"/>
    </w:r>
    <w:r>
      <w:rPr>
        <w:rFonts w:ascii="Consolas" w:eastAsia="宋体"/>
        <w:sz w:val="18"/>
        <w:szCs w:val="18"/>
      </w:rPr>
      <w:t xml:space="preserve"> 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34024288"/>
    <w:rsid w:val="484350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Theme="minorHAns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eastAsia="宋体"/>
      <w:sz w:val="21"/>
      <w:szCs w:val="21"/>
    </w:rPr>
  </w:style>
  <w:style w:type="paragraph" w:styleId="2">
    <w:name w:val="heading 1"/>
    <w:next w:val="1"/>
    <w:qFormat/>
    <w:uiPriority w:val="0"/>
    <w:rPr>
      <w:rFonts w:ascii="Times New Roman" w:eastAsia="宋体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eastAsia="宋体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eastAsia="宋体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eastAsia="宋体"/>
      <w:i/>
      <w:iCs/>
      <w:color w:val="2E74B5"/>
      <w:sz w:val="21"/>
      <w:szCs w:val="21"/>
    </w:rPr>
  </w:style>
  <w:style w:type="paragraph" w:styleId="6">
    <w:name w:val="heading 5"/>
    <w:next w:val="1"/>
    <w:qFormat/>
    <w:uiPriority w:val="0"/>
    <w:rPr>
      <w:rFonts w:ascii="Times New Roman" w:eastAsia="宋体"/>
      <w:color w:val="2E74B5"/>
      <w:sz w:val="21"/>
      <w:szCs w:val="21"/>
    </w:rPr>
  </w:style>
  <w:style w:type="paragraph" w:styleId="7">
    <w:name w:val="heading 6"/>
    <w:next w:val="1"/>
    <w:qFormat/>
    <w:uiPriority w:val="0"/>
    <w:rPr>
      <w:rFonts w:ascii="Times New Roman" w:eastAsia="宋体"/>
      <w:color w:val="1F4D78"/>
      <w:sz w:val="21"/>
      <w:szCs w:val="21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eastAsia="宋体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eastAsia="宋体"/>
      <w:sz w:val="20"/>
      <w:szCs w:val="20"/>
    </w:rPr>
  </w:style>
  <w:style w:type="paragraph" w:styleId="10">
    <w:name w:val="Title"/>
    <w:qFormat/>
    <w:uiPriority w:val="0"/>
    <w:rPr>
      <w:rFonts w:ascii="Times New Roman" w:eastAsia="宋体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eastAsia="宋体"/>
      <w:sz w:val="21"/>
      <w:szCs w:val="21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2866</Words>
  <Characters>2968</Characters>
  <TotalTime>0</TotalTime>
  <ScaleCrop>false</ScaleCrop>
  <LinksUpToDate>false</LinksUpToDate>
  <CharactersWithSpaces>3008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2026-09-14T09:41:00Z</dcterms:created>
  <dc:creator>Un-named</dc:creator>
  <cp:lastModifiedBy>fudan.pan</cp:lastModifiedBy>
  <dcterms:modified xsi:type="dcterms:W3CDTF">2026-09-14T10:12:22Z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eyJoZGlkIjoiZDFiNDIyYjZmNzJkMzNmNGY3YjA1OTBlNDBjN2YwMmQiLCJ1c2VySWQiOiIzOTQxNTQzOTcifQ==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7A7582AFCF2E477FAF54B8C1092E46BD_12</vt:lpwstr>
  </property>
</Properties>
</file>